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ind w:firstLine="539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崔兰琴，</w:t>
      </w:r>
      <w:r>
        <w:rPr>
          <w:rFonts w:hint="eastAsia"/>
          <w:sz w:val="24"/>
          <w:szCs w:val="24"/>
        </w:rPr>
        <w:t>教授，博士生、硕士生导师，主持2022年国家社科基金重点项目，两次独撰的高水平研究成果在《法学研究》发表；“西湖学者计划”人才称号，浙江省商法学会理事，曾任教育部考试中心法律硕士招生大纲编修专家组成员，学术论文成果多次被《中国社会科学》《人大复印资料》等转载；另主持国家社科基金一般课题和教育部、法学会、省社科等多项省部级课题，在美国和北京大学访学。</w:t>
      </w:r>
      <w:bookmarkStart w:id="0" w:name="_GoBack"/>
      <w:bookmarkEnd w:id="0"/>
      <w:r>
        <w:rPr>
          <w:rFonts w:hint="eastAsia"/>
          <w:sz w:val="24"/>
          <w:szCs w:val="24"/>
        </w:rPr>
        <w:t>。</w:t>
      </w:r>
    </w:p>
    <w:p>
      <w:pPr>
        <w:spacing w:line="440" w:lineRule="atLeast"/>
        <w:ind w:firstLine="539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电子邮箱：</w:t>
      </w:r>
      <w:r>
        <w:rPr>
          <w:b/>
          <w:sz w:val="24"/>
          <w:szCs w:val="24"/>
        </w:rPr>
        <w:t>clqahm@163.com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2AAE"/>
    <w:rsid w:val="005E2AAE"/>
    <w:rsid w:val="009F05CF"/>
    <w:rsid w:val="1DDC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407</Characters>
  <Lines>3</Lines>
  <Paragraphs>1</Paragraphs>
  <TotalTime>0</TotalTime>
  <ScaleCrop>false</ScaleCrop>
  <LinksUpToDate>false</LinksUpToDate>
  <CharactersWithSpaces>477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2018-03-08T06:54:00Z</dcterms:created>
  <dc:creator>Admin</dc:creator>
  <cp:lastModifiedBy>树书</cp:lastModifiedBy>
  <dcterms:modified xsi:type="dcterms:W3CDTF">2025-09-14T05:45:35Z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