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文姬，</w:t>
      </w:r>
      <w:r>
        <w:rPr>
          <w:rFonts w:hint="eastAsia" w:ascii="宋体" w:hAnsi="宋体" w:eastAsia="宋体" w:cs="宋体"/>
          <w:sz w:val="24"/>
          <w:szCs w:val="24"/>
        </w:rPr>
        <w:t>女，1980年2月出生，湖南醴陵人，浙江工商大学法学院教授、硕士生导师，刑事法学科负责人。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主要研究领域：刑法学、犯罪学、法学实证研究。主持完成国家社科基金一般项目“基于生效判决书的罚金刑量刑规范化实证研究”（2016-2021）、湖南省社科基金一般项目“再犯危险性评估及其应用”（2011-2014）、湖南省社科基金一般项目“抽象危险犯的立案标准研究”（2014-2017）；出版《人身危险性评估方法研究》和《罚金刑量刑规范化实证研究》专著2部；在《法学研究》、《法学》、《清华法学》、《法学论坛》、《中国刑事法杂志》、《刑事法评论》等刊物上发表学术论文40多篇，其中CSSCI论文16篇，被人大复印资料全文转载5篇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电子邮箱</w:t>
      </w:r>
      <w:r>
        <w:rPr>
          <w:rFonts w:hint="eastAsia" w:ascii="宋体" w:hAnsi="宋体" w:eastAsia="宋体" w:cs="宋体"/>
          <w:sz w:val="24"/>
          <w:szCs w:val="24"/>
        </w:rPr>
        <w:t>：wenjiwenji@126.com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E25EC2"/>
    <w:rsid w:val="34E25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2023-09-12T01:00:00Z</dcterms:created>
  <dc:creator>admin</dc:creator>
  <cp:lastModifiedBy>admin</cp:lastModifiedBy>
  <dcterms:modified xsi:type="dcterms:W3CDTF">2023-09-12T01:00:11Z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2052-11.8.2.8276</vt:lpwstr>
  </property>
</Properties>
</file>