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ind w:firstLine="482" w:firstLineChars="200"/>
        <w:jc w:val="left"/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/>
          <w:bCs/>
          <w:kern w:val="2"/>
          <w:sz w:val="24"/>
          <w:szCs w:val="24"/>
          <w:lang w:val="en-US" w:eastAsia="zh-CN" w:bidi="ar-SA"/>
        </w:rPr>
        <w:t>郑晨骏，</w:t>
      </w:r>
      <w:r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  <w:t xml:space="preserve">男，河北秦皇岛人，特聘副教授、硕士生导师，毕业于在武汉大学国际法专业，获得法学博士、硕士学位，荷兰乌特勒支大学法学院联合培养博士，澳门大学访问学者，本科毕业于武汉大学俄语专业（专业八级水平），文学学士。 </w:t>
      </w:r>
    </w:p>
    <w:p>
      <w:pPr>
        <w:snapToGrid w:val="0"/>
        <w:spacing w:line="48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  <w:t>研究方向为：国际公法理论、国际环境法、国际水法、国际人道法。主持的代表性课题：教育部人文社科研究项目“跨界水资源分配法律适用研究” （22YJC820052）。在《Review of European, Comparative &amp; International Environmental Law 》、《 Water International》、《Journal of Water Law》、《太平洋学报》等期刊上发表论文多篇。</w:t>
      </w:r>
    </w:p>
    <w:p>
      <w:pPr>
        <w:snapToGrid w:val="0"/>
        <w:spacing w:line="48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  <w:t>电子邮箱：</w:t>
      </w:r>
      <w:r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  <w:fldChar w:fldCharType="begin"/>
      </w:r>
      <w:r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  <w:instrText xml:space="preserve"> HYPERLINK "mailto:zhengchenjun@mail.zjgsu.edu.cn" </w:instrText>
      </w:r>
      <w:r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  <w:fldChar w:fldCharType="separate"/>
      </w:r>
      <w:r>
        <w:rPr>
          <w:rStyle w:val="5"/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  <w:t>zhengchenjun@mail.zjgsu.edu.cn</w:t>
      </w:r>
      <w:r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  <w:fldChar w:fldCharType="end"/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B8318D"/>
    <w:rsid w:val="06B83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2024-09-15T08:46:00Z</dcterms:created>
  <dc:creator>树书</dc:creator>
  <cp:lastModifiedBy>树书</cp:lastModifiedBy>
  <dcterms:modified xsi:type="dcterms:W3CDTF">2024-09-15T08:46:45Z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