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D6" w:rsidRPr="003045D6" w:rsidRDefault="003045D6" w:rsidP="003045D6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4"/>
          <w:szCs w:val="24"/>
        </w:rPr>
        <w:t>杨东</w:t>
      </w:r>
      <w:r w:rsidR="00EA53BC" w:rsidRPr="006D29CF">
        <w:rPr>
          <w:rFonts w:hint="eastAsia"/>
          <w:b/>
          <w:sz w:val="24"/>
          <w:szCs w:val="24"/>
        </w:rPr>
        <w:t>，</w:t>
      </w:r>
      <w:r w:rsidRPr="003045D6">
        <w:rPr>
          <w:rFonts w:hint="eastAsia"/>
          <w:sz w:val="24"/>
          <w:szCs w:val="24"/>
        </w:rPr>
        <w:t>浙江宁波人，法学博士，博士生导师。教育部“长江学者”特聘教授，教育部创新创业教指委委员。中国人民大学发展规划处副处长、未来法治研究院金融科技与互联网安全研究中心主任、金融法研究所、竞争法研究所副所长兼秘书长。社会兼职全国人大法工委、财经委证券法、期货法、电子商务法课题组和起草组专家、国务院互联网金融专项整治办公室专家、教育部高等学校创新创业教育指导委员会委员、最高人民检察院民事行政诉讼监督案件专家委员会委员、国家互联网金融安全技术专家委员会委员、中国人民银行现代支付与互联网金融研究中心学术委员会委员、中国法学会证券法学研究会副会长等等。</w:t>
      </w:r>
    </w:p>
    <w:p w:rsidR="003045D6" w:rsidRPr="003045D6" w:rsidRDefault="003045D6" w:rsidP="003045D6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 w:rsidRPr="003045D6">
        <w:rPr>
          <w:rFonts w:hint="eastAsia"/>
          <w:sz w:val="24"/>
          <w:szCs w:val="24"/>
        </w:rPr>
        <w:t>发表在《中国社会科学》《中国法学》《政法论坛》《法学家》《清华法学》等中文核心期刊及</w:t>
      </w:r>
      <w:r w:rsidRPr="003045D6">
        <w:rPr>
          <w:rFonts w:hint="eastAsia"/>
          <w:sz w:val="24"/>
          <w:szCs w:val="24"/>
        </w:rPr>
        <w:t>SSCI</w:t>
      </w:r>
      <w:r w:rsidRPr="003045D6">
        <w:rPr>
          <w:rFonts w:hint="eastAsia"/>
          <w:sz w:val="24"/>
          <w:szCs w:val="24"/>
        </w:rPr>
        <w:t>收录论文数十篇。出版《区块链</w:t>
      </w:r>
      <w:r w:rsidRPr="003045D6">
        <w:rPr>
          <w:rFonts w:hint="eastAsia"/>
          <w:sz w:val="24"/>
          <w:szCs w:val="24"/>
        </w:rPr>
        <w:t>+</w:t>
      </w:r>
      <w:r w:rsidRPr="003045D6">
        <w:rPr>
          <w:rFonts w:hint="eastAsia"/>
          <w:sz w:val="24"/>
          <w:szCs w:val="24"/>
        </w:rPr>
        <w:t>监管</w:t>
      </w:r>
      <w:r w:rsidRPr="003045D6">
        <w:rPr>
          <w:rFonts w:hint="eastAsia"/>
          <w:sz w:val="24"/>
          <w:szCs w:val="24"/>
        </w:rPr>
        <w:t>=</w:t>
      </w:r>
      <w:r w:rsidRPr="003045D6">
        <w:rPr>
          <w:rFonts w:hint="eastAsia"/>
          <w:sz w:val="24"/>
          <w:szCs w:val="24"/>
        </w:rPr>
        <w:t>法链》等著作十余部。主持国家社科基金项目、商务部重大项目等课题十余项。获</w:t>
      </w:r>
      <w:r w:rsidRPr="003045D6">
        <w:rPr>
          <w:rFonts w:hint="eastAsia"/>
          <w:sz w:val="24"/>
          <w:szCs w:val="24"/>
        </w:rPr>
        <w:t>2018</w:t>
      </w:r>
      <w:r w:rsidRPr="003045D6">
        <w:rPr>
          <w:rFonts w:hint="eastAsia"/>
          <w:sz w:val="24"/>
          <w:szCs w:val="24"/>
        </w:rPr>
        <w:t>年高等教育国家级教学成果一等奖、第八届全国十大杰出青年法学家提名奖、</w:t>
      </w:r>
      <w:r w:rsidRPr="003045D6">
        <w:rPr>
          <w:rFonts w:hint="eastAsia"/>
          <w:sz w:val="24"/>
          <w:szCs w:val="24"/>
        </w:rPr>
        <w:t>2017</w:t>
      </w:r>
      <w:r w:rsidRPr="003045D6">
        <w:rPr>
          <w:rFonts w:hint="eastAsia"/>
          <w:sz w:val="24"/>
          <w:szCs w:val="24"/>
        </w:rPr>
        <w:t>年北京市高等教育教学成果特等奖、北京市第十四届哲学社会科学优秀成果奖一等奖、第七届钱端升法学研究成果奖二等奖、第四届中国法学会优秀成果奖论文类三等奖、第七届高等学校科学研究优秀成果奖（人文社会科学）三等奖、</w:t>
      </w:r>
      <w:r w:rsidRPr="003045D6">
        <w:rPr>
          <w:rFonts w:hint="eastAsia"/>
          <w:sz w:val="24"/>
          <w:szCs w:val="24"/>
        </w:rPr>
        <w:t>2015</w:t>
      </w:r>
      <w:r w:rsidRPr="003045D6">
        <w:rPr>
          <w:rFonts w:hint="eastAsia"/>
          <w:sz w:val="24"/>
          <w:szCs w:val="24"/>
        </w:rPr>
        <w:t>年中国众筹行业发展杰出贡献奖、</w:t>
      </w:r>
      <w:r w:rsidRPr="003045D6">
        <w:rPr>
          <w:rFonts w:hint="eastAsia"/>
          <w:sz w:val="24"/>
          <w:szCs w:val="24"/>
        </w:rPr>
        <w:t>2014</w:t>
      </w:r>
      <w:r w:rsidRPr="003045D6">
        <w:rPr>
          <w:rFonts w:hint="eastAsia"/>
          <w:sz w:val="24"/>
          <w:szCs w:val="24"/>
        </w:rPr>
        <w:t>年中国互联网金融发展特别贡献奖等。</w:t>
      </w:r>
    </w:p>
    <w:p w:rsidR="003045D6" w:rsidRPr="003045D6" w:rsidRDefault="003045D6" w:rsidP="003045D6">
      <w:pPr>
        <w:spacing w:line="440" w:lineRule="atLeast"/>
        <w:ind w:firstLine="539"/>
        <w:jc w:val="left"/>
        <w:rPr>
          <w:rFonts w:hint="eastAsia"/>
          <w:sz w:val="24"/>
          <w:szCs w:val="24"/>
        </w:rPr>
      </w:pPr>
      <w:r w:rsidRPr="003045D6">
        <w:rPr>
          <w:rFonts w:hint="eastAsia"/>
          <w:sz w:val="24"/>
          <w:szCs w:val="24"/>
        </w:rPr>
        <w:t>研究领域为互联网金融、金融科技（</w:t>
      </w:r>
      <w:r w:rsidRPr="003045D6">
        <w:rPr>
          <w:rFonts w:hint="eastAsia"/>
          <w:sz w:val="24"/>
          <w:szCs w:val="24"/>
        </w:rPr>
        <w:t>Fintech</w:t>
      </w:r>
      <w:r w:rsidRPr="003045D6">
        <w:rPr>
          <w:rFonts w:hint="eastAsia"/>
          <w:sz w:val="24"/>
          <w:szCs w:val="24"/>
        </w:rPr>
        <w:t>）、区块链、监管科技、大数据、证券法、金融法、竞争法、企业并购法等。</w:t>
      </w:r>
    </w:p>
    <w:p w:rsidR="00EA53BC" w:rsidRPr="003045D6" w:rsidRDefault="003045D6" w:rsidP="003045D6">
      <w:pPr>
        <w:spacing w:line="440" w:lineRule="atLeast"/>
        <w:ind w:firstLine="539"/>
        <w:jc w:val="left"/>
        <w:rPr>
          <w:rFonts w:ascii="宋体"/>
          <w:b/>
          <w:sz w:val="24"/>
          <w:szCs w:val="28"/>
        </w:rPr>
      </w:pPr>
      <w:r w:rsidRPr="003045D6">
        <w:rPr>
          <w:rFonts w:hint="eastAsia"/>
          <w:b/>
          <w:sz w:val="24"/>
          <w:szCs w:val="24"/>
        </w:rPr>
        <w:t>电子邮箱：</w:t>
      </w:r>
      <w:r w:rsidRPr="003045D6">
        <w:rPr>
          <w:rFonts w:hint="eastAsia"/>
          <w:b/>
          <w:sz w:val="24"/>
          <w:szCs w:val="24"/>
        </w:rPr>
        <w:t>yangdongbeijing@163.com</w:t>
      </w: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7DC" w:rsidRDefault="00C447DC" w:rsidP="00E85F0A">
      <w:r>
        <w:separator/>
      </w:r>
    </w:p>
  </w:endnote>
  <w:endnote w:type="continuationSeparator" w:id="1">
    <w:p w:rsidR="00C447DC" w:rsidRDefault="00C447DC" w:rsidP="00E8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7DC" w:rsidRDefault="00C447DC" w:rsidP="00E85F0A">
      <w:r>
        <w:separator/>
      </w:r>
    </w:p>
  </w:footnote>
  <w:footnote w:type="continuationSeparator" w:id="1">
    <w:p w:rsidR="00C447DC" w:rsidRDefault="00C447DC" w:rsidP="00E85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3BC"/>
    <w:rsid w:val="003045D6"/>
    <w:rsid w:val="00521E72"/>
    <w:rsid w:val="00795487"/>
    <w:rsid w:val="00C447DC"/>
    <w:rsid w:val="00C552AC"/>
    <w:rsid w:val="00E85F0A"/>
    <w:rsid w:val="00EA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5F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5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5F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2021-09-08T08:58:00Z</dcterms:created>
  <dcterms:modified xsi:type="dcterms:W3CDTF">2021-09-08T09:00:00Z</dcterms:modified>
</cp:coreProperties>
</file>