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539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宋杰，</w:t>
      </w:r>
      <w:r>
        <w:rPr>
          <w:rFonts w:hint="eastAsia"/>
          <w:sz w:val="24"/>
          <w:szCs w:val="24"/>
        </w:rPr>
        <w:t>男，湖北大悟人，</w:t>
      </w:r>
      <w:r>
        <w:rPr>
          <w:sz w:val="24"/>
          <w:szCs w:val="24"/>
        </w:rPr>
        <w:t>1973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月生，在武汉大学获国际法硕士、博士学位，国际法教授，浙江工商大学法学院、知识产权学院院长，兼任中国法学会法学教育研究会常务理事</w:t>
      </w:r>
      <w:r>
        <w:rPr>
          <w:rFonts w:hint="eastAsia"/>
          <w:sz w:val="24"/>
          <w:szCs w:val="24"/>
          <w:lang w:eastAsia="zh-CN"/>
        </w:rPr>
        <w:t>、</w:t>
      </w:r>
      <w:bookmarkStart w:id="0" w:name="_GoBack"/>
      <w:bookmarkEnd w:id="0"/>
      <w:r>
        <w:rPr>
          <w:rFonts w:hint="eastAsia"/>
          <w:sz w:val="24"/>
          <w:szCs w:val="24"/>
        </w:rPr>
        <w:t>中国国际法学会理事、中国法学会世界贸易组织法研究会理事、浙江省国际法研究会副会长、浙江省安全法学研究会副会长，入选浙江省“</w:t>
      </w:r>
      <w:r>
        <w:rPr>
          <w:sz w:val="24"/>
          <w:szCs w:val="24"/>
        </w:rPr>
        <w:t>151</w:t>
      </w:r>
      <w:r>
        <w:rPr>
          <w:rFonts w:hint="eastAsia"/>
          <w:sz w:val="24"/>
          <w:szCs w:val="24"/>
        </w:rPr>
        <w:t>”第二层次人才。</w:t>
      </w:r>
    </w:p>
    <w:p>
      <w:pPr>
        <w:spacing w:line="440" w:lineRule="atLeast"/>
        <w:ind w:firstLine="539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主要研究领域：国际法基本理论、国际争端解决、国际法院。主持承担的课题有：国家社会科学基金项目、教育部人文社科基金项目、浙江省社科规划项目等。出版著作有《国际法中普遍性法律利益的保护问题研究</w:t>
      </w:r>
      <w:r>
        <w:rPr>
          <w:rFonts w:ascii="宋体" w:hAnsi="宋体"/>
          <w:sz w:val="24"/>
          <w:szCs w:val="24"/>
        </w:rPr>
        <w:t>——</w:t>
      </w:r>
      <w:r>
        <w:rPr>
          <w:rFonts w:hint="eastAsia"/>
          <w:sz w:val="24"/>
          <w:szCs w:val="24"/>
        </w:rPr>
        <w:t>基于国际法庭和国家相关实践的研究》、《国际法院司法实践中的解释问题研究》。在《法学研究》、《世界经济与政治》、</w:t>
      </w:r>
      <w:r>
        <w:rPr>
          <w:sz w:val="24"/>
          <w:szCs w:val="24"/>
        </w:rPr>
        <w:t>China: An International Journal</w:t>
      </w:r>
      <w:r>
        <w:rPr>
          <w:rFonts w:hint="eastAsia"/>
          <w:sz w:val="24"/>
          <w:szCs w:val="24"/>
        </w:rPr>
        <w:t>等期刊上发表学术论文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余篇，在新加坡《联合早报》、香港《大公报》、香港《文汇报》、香港《信报》、美国《侨报》、《法制日报》、《中国知识产权报》等发表时评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余篇。研究成果曾获浙江省第</w:t>
      </w:r>
      <w:r>
        <w:rPr>
          <w:sz w:val="24"/>
          <w:szCs w:val="24"/>
        </w:rPr>
        <w:t>17</w:t>
      </w:r>
      <w:r>
        <w:rPr>
          <w:rFonts w:hint="eastAsia"/>
          <w:sz w:val="24"/>
          <w:szCs w:val="24"/>
        </w:rPr>
        <w:t>届哲学社会科学优秀科研成果三等奖等各类奖项数项。</w:t>
      </w:r>
    </w:p>
    <w:p>
      <w:pPr>
        <w:spacing w:line="440" w:lineRule="atLeast"/>
        <w:ind w:firstLine="539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电子邮箱：</w:t>
      </w:r>
      <w:r>
        <w:rPr>
          <w:b/>
          <w:sz w:val="24"/>
          <w:szCs w:val="24"/>
        </w:rPr>
        <w:t>ralph_sj2000@163.com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1C2A"/>
    <w:rsid w:val="00521E72"/>
    <w:rsid w:val="00711C2A"/>
    <w:rsid w:val="0CD81A3C"/>
    <w:rsid w:val="775B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398</Characters>
  <Lines>3</Lines>
  <Paragraphs>1</Paragraphs>
  <TotalTime>2</TotalTime>
  <ScaleCrop>false</ScaleCrop>
  <LinksUpToDate>false</LinksUpToDate>
  <CharactersWithSpaces>466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2018-03-08T06:46:00Z</dcterms:created>
  <dc:creator>Admin</dc:creator>
  <cp:lastModifiedBy>admin</cp:lastModifiedBy>
  <dcterms:modified xsi:type="dcterms:W3CDTF">2022-10-02T06:04:46Z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