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22" w:firstLineChars="20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</w:rPr>
        <w:t>吕铖钢</w:t>
      </w:r>
      <w:r>
        <w:rPr>
          <w:rFonts w:hint="eastAsia" w:ascii="宋体" w:hAnsi="宋体" w:eastAsia="宋体" w:cs="宋体"/>
          <w:kern w:val="0"/>
          <w:szCs w:val="21"/>
        </w:rPr>
        <w:t>，男，浙江东阳人，1989年生，浙江工商大学副教授、硕士研究生导师。华东政法大学经济法学博士，研究方向为财税法、经济法、金融法、数字财产等。兼任浙江省法学会财税法学研究会常务理事、浙江省法学会国家安全法学研究会常务理事、浙江省税务学会理事、浙江省税务学会税收学术委员会委员。同时担任兼职律师、兼职仲裁员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主持的代表性课题有：国家社科基金后期资助项目“数字财产课税的法律困境和中国进路研究”，中国法学会部级法学研究课题“税收法定视域下概念的确定化研究”，中国法学会部级法学研究课题“税收征管图景中虚拟财产的可税性问题研究”，中国法学会部级法学研究课题“数字财产课税的法律规则构建研究”，浙江省社会科学基金青年项目“数字经济中虚拟财产课税的法律困境和中国进路研究”。曾在《行政法学研究》《学术月刊》《财政研究》《税务研究》《当代财经》《北京社会科学》《华南农业大学学报（社会科学版）》《现代经济探讨》《地方财政研究》等刊物和报纸上发表四十余篇论文。其中，一篇论文被人大复印资料《金融与保险》全文转摘，四篇论文被人大复印资料《财政金融文摘》转载。连续多年获浙江省法学会财税法学研究会理论研讨征文一等奖。</w:t>
      </w:r>
      <w:bookmarkStart w:id="0" w:name="_GoBack"/>
      <w:bookmarkEnd w:id="0"/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电子邮箱：taxisgood@163.com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D5C4F"/>
    <w:rsid w:val="00083BFE"/>
    <w:rsid w:val="00153686"/>
    <w:rsid w:val="001E61B2"/>
    <w:rsid w:val="002C2BF2"/>
    <w:rsid w:val="005C19ED"/>
    <w:rsid w:val="008C2DCA"/>
    <w:rsid w:val="0090714A"/>
    <w:rsid w:val="00ED5C4F"/>
    <w:rsid w:val="26A46082"/>
    <w:rsid w:val="29CA5FDB"/>
    <w:rsid w:val="32E51865"/>
    <w:rsid w:val="36F16030"/>
    <w:rsid w:val="448935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257</Characters>
  <Lines>2</Lines>
  <Paragraphs>1</Paragraphs>
  <TotalTime>0</TotalTime>
  <ScaleCrop>false</ScaleCrop>
  <LinksUpToDate>false</LinksUpToDate>
  <CharactersWithSpaces>300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2021-12-02T01:20:00Z</dcterms:created>
  <dc:creator>Admin</dc:creator>
  <cp:lastModifiedBy>树书</cp:lastModifiedBy>
  <dcterms:modified xsi:type="dcterms:W3CDTF">2024-09-15T08:43:36Z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20309366E25E4526B151F118CB0C3CF0</vt:lpwstr>
  </property>
</Properties>
</file>