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88E" w:rsidRPr="00737ABD" w:rsidRDefault="0000588E" w:rsidP="0000588E">
      <w:pPr>
        <w:spacing w:line="360" w:lineRule="auto"/>
        <w:ind w:firstLineChars="196" w:firstLine="472"/>
        <w:jc w:val="left"/>
        <w:rPr>
          <w:rFonts w:ascii="宋体"/>
          <w:bCs/>
          <w:sz w:val="24"/>
          <w:szCs w:val="24"/>
        </w:rPr>
      </w:pPr>
      <w:r>
        <w:rPr>
          <w:rFonts w:hint="eastAsia"/>
          <w:b/>
          <w:sz w:val="24"/>
          <w:szCs w:val="24"/>
        </w:rPr>
        <w:t>牛强</w:t>
      </w:r>
      <w:r w:rsidRPr="00737ABD">
        <w:rPr>
          <w:rFonts w:ascii="宋体" w:hAnsi="宋体" w:hint="eastAsia"/>
          <w:bCs/>
          <w:sz w:val="24"/>
          <w:szCs w:val="24"/>
        </w:rPr>
        <w:t>，男，河南太康人，</w:t>
      </w:r>
      <w:r w:rsidRPr="00737ABD">
        <w:rPr>
          <w:rFonts w:ascii="宋体" w:hAnsi="宋体"/>
          <w:bCs/>
          <w:sz w:val="24"/>
          <w:szCs w:val="24"/>
        </w:rPr>
        <w:t>1983</w:t>
      </w:r>
      <w:r w:rsidRPr="00737ABD">
        <w:rPr>
          <w:rFonts w:ascii="宋体" w:hAnsi="宋体" w:hint="eastAsia"/>
          <w:bCs/>
          <w:sz w:val="24"/>
          <w:szCs w:val="24"/>
        </w:rPr>
        <w:t>年</w:t>
      </w:r>
      <w:r w:rsidRPr="00737ABD">
        <w:rPr>
          <w:rFonts w:ascii="宋体" w:hAnsi="宋体"/>
          <w:bCs/>
          <w:sz w:val="24"/>
          <w:szCs w:val="24"/>
        </w:rPr>
        <w:t>2</w:t>
      </w:r>
      <w:r w:rsidRPr="00737ABD">
        <w:rPr>
          <w:rFonts w:ascii="宋体" w:hAnsi="宋体" w:hint="eastAsia"/>
          <w:bCs/>
          <w:sz w:val="24"/>
          <w:szCs w:val="24"/>
        </w:rPr>
        <w:t>月生，在中南财经政法大学知识产权中心获得法学博士学位，法学副教授。浙江工商大学知识产权研究所副所长，兼任中国知识产权法学研究会理事。</w:t>
      </w:r>
    </w:p>
    <w:p w:rsidR="0000588E" w:rsidRPr="00737ABD" w:rsidRDefault="0000588E" w:rsidP="0000588E">
      <w:pPr>
        <w:spacing w:line="360" w:lineRule="auto"/>
        <w:ind w:firstLine="539"/>
        <w:jc w:val="left"/>
        <w:rPr>
          <w:rFonts w:ascii="宋体"/>
          <w:bCs/>
          <w:sz w:val="24"/>
          <w:szCs w:val="24"/>
        </w:rPr>
      </w:pPr>
      <w:r w:rsidRPr="00737ABD">
        <w:rPr>
          <w:rFonts w:ascii="宋体" w:hAnsi="宋体" w:hint="eastAsia"/>
          <w:bCs/>
          <w:sz w:val="24"/>
          <w:szCs w:val="24"/>
        </w:rPr>
        <w:t>主要研究领域有：知识产权基本理论、著作权法、传媒法。主持承担的代表性课题有：国家社科基金项目“知识产权民事判决法律论证实证研究”，教育部人文社科青年基金项目“网络版权侵权判决实证研究”，中国法学会部级项目“文化产品交易法律保障体系研究”。出版的主要专著有《传统文化资源的知识产权保护与经营》。在《中国出版》、《知识产权》等刊物上发表论文十余篇。参与起草与制定国家版权局委托项目“中国著作权法制发展年度研究报告”（</w:t>
      </w:r>
      <w:r w:rsidRPr="00737ABD">
        <w:rPr>
          <w:rFonts w:ascii="宋体" w:hAnsi="宋体"/>
          <w:bCs/>
          <w:sz w:val="24"/>
          <w:szCs w:val="24"/>
        </w:rPr>
        <w:t>2009-2010</w:t>
      </w:r>
      <w:r w:rsidRPr="00737ABD">
        <w:rPr>
          <w:rFonts w:ascii="宋体" w:hAnsi="宋体" w:hint="eastAsia"/>
          <w:bCs/>
          <w:sz w:val="24"/>
          <w:szCs w:val="24"/>
        </w:rPr>
        <w:t>）、国家广电总局《广播影视知识产权战略实施意见》、《湖北省知识产权战略纲要》（</w:t>
      </w:r>
      <w:r w:rsidRPr="00737ABD">
        <w:rPr>
          <w:rFonts w:ascii="宋体" w:hAnsi="宋体"/>
          <w:bCs/>
          <w:sz w:val="24"/>
          <w:szCs w:val="24"/>
        </w:rPr>
        <w:t>HBIPB001</w:t>
      </w:r>
      <w:r w:rsidRPr="00737ABD">
        <w:rPr>
          <w:rFonts w:ascii="宋体" w:hAnsi="宋体" w:hint="eastAsia"/>
          <w:bCs/>
          <w:sz w:val="24"/>
          <w:szCs w:val="24"/>
        </w:rPr>
        <w:t>）、《西藏自治区实施知识产权战略若干意见》等文件。</w:t>
      </w:r>
    </w:p>
    <w:p w:rsidR="0000588E" w:rsidRPr="00737ABD" w:rsidRDefault="0000588E" w:rsidP="0000588E">
      <w:pPr>
        <w:spacing w:line="360" w:lineRule="auto"/>
        <w:jc w:val="left"/>
        <w:rPr>
          <w:rFonts w:ascii="宋体"/>
          <w:bCs/>
          <w:sz w:val="24"/>
          <w:szCs w:val="24"/>
        </w:rPr>
      </w:pPr>
      <w:r w:rsidRPr="00737ABD">
        <w:rPr>
          <w:rFonts w:ascii="宋体" w:hAnsi="宋体" w:hint="eastAsia"/>
          <w:bCs/>
          <w:sz w:val="24"/>
          <w:szCs w:val="24"/>
        </w:rPr>
        <w:t>曾获全国百篇优秀博士论文提名奖（</w:t>
      </w:r>
      <w:r w:rsidRPr="00737ABD">
        <w:rPr>
          <w:rFonts w:ascii="宋体" w:hAnsi="宋体"/>
          <w:bCs/>
          <w:sz w:val="24"/>
          <w:szCs w:val="24"/>
        </w:rPr>
        <w:t>2012</w:t>
      </w:r>
      <w:r w:rsidRPr="00737ABD">
        <w:rPr>
          <w:rFonts w:ascii="宋体" w:hAnsi="宋体" w:hint="eastAsia"/>
          <w:bCs/>
          <w:sz w:val="24"/>
          <w:szCs w:val="24"/>
        </w:rPr>
        <w:t>）、湖北省优秀博士论文奖（</w:t>
      </w:r>
      <w:r w:rsidRPr="00737ABD">
        <w:rPr>
          <w:rFonts w:ascii="宋体" w:hAnsi="宋体"/>
          <w:bCs/>
          <w:sz w:val="24"/>
          <w:szCs w:val="24"/>
        </w:rPr>
        <w:t>2011</w:t>
      </w:r>
      <w:r w:rsidRPr="00737ABD">
        <w:rPr>
          <w:rFonts w:ascii="宋体" w:hAnsi="宋体" w:hint="eastAsia"/>
          <w:bCs/>
          <w:sz w:val="24"/>
          <w:szCs w:val="24"/>
        </w:rPr>
        <w:t>）、浙江省哲学社会科学优秀成果三等奖（</w:t>
      </w:r>
      <w:r w:rsidRPr="00737ABD">
        <w:rPr>
          <w:rFonts w:ascii="宋体" w:hAnsi="宋体"/>
          <w:bCs/>
          <w:sz w:val="24"/>
          <w:szCs w:val="24"/>
        </w:rPr>
        <w:t>2013</w:t>
      </w:r>
      <w:r w:rsidRPr="00737ABD">
        <w:rPr>
          <w:rFonts w:ascii="宋体" w:hAnsi="宋体" w:hint="eastAsia"/>
          <w:bCs/>
          <w:sz w:val="24"/>
          <w:szCs w:val="24"/>
        </w:rPr>
        <w:t>）、浙江工商大学优秀教师称号（</w:t>
      </w:r>
      <w:r w:rsidRPr="00737ABD">
        <w:rPr>
          <w:rFonts w:ascii="宋体" w:hAnsi="宋体"/>
          <w:bCs/>
          <w:sz w:val="24"/>
          <w:szCs w:val="24"/>
        </w:rPr>
        <w:t>2015</w:t>
      </w:r>
      <w:r w:rsidRPr="00737ABD">
        <w:rPr>
          <w:rFonts w:ascii="宋体" w:hAnsi="宋体" w:hint="eastAsia"/>
          <w:bCs/>
          <w:sz w:val="24"/>
          <w:szCs w:val="24"/>
        </w:rPr>
        <w:t>）。</w:t>
      </w:r>
    </w:p>
    <w:p w:rsidR="0000588E" w:rsidRPr="00AB5523" w:rsidRDefault="0000588E" w:rsidP="0000588E">
      <w:pPr>
        <w:spacing w:line="360" w:lineRule="auto"/>
        <w:ind w:firstLine="539"/>
        <w:jc w:val="left"/>
        <w:rPr>
          <w:rFonts w:ascii="宋体" w:hAnsi="宋体"/>
          <w:b/>
          <w:sz w:val="24"/>
          <w:szCs w:val="24"/>
        </w:rPr>
      </w:pPr>
      <w:r w:rsidRPr="00737ABD">
        <w:rPr>
          <w:rFonts w:ascii="宋体" w:hAnsi="宋体" w:hint="eastAsia"/>
          <w:b/>
          <w:sz w:val="24"/>
          <w:szCs w:val="24"/>
        </w:rPr>
        <w:t>电子邮箱：</w:t>
      </w:r>
      <w:r w:rsidRPr="00AB5523">
        <w:rPr>
          <w:rFonts w:ascii="宋体" w:hAnsi="宋体"/>
          <w:b/>
          <w:sz w:val="24"/>
          <w:szCs w:val="24"/>
        </w:rPr>
        <w:t>nq417@aliyun.com</w:t>
      </w:r>
    </w:p>
    <w:p w:rsidR="009F05CF" w:rsidRPr="0000588E" w:rsidRDefault="009F05CF"/>
    <w:sectPr w:rsidR="009F05CF" w:rsidRPr="0000588E" w:rsidSect="009F05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588E"/>
    <w:rsid w:val="0000588E"/>
    <w:rsid w:val="009F0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88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2018-03-08T06:53:00Z</dcterms:created>
  <dcterms:modified xsi:type="dcterms:W3CDTF">2018-03-08T06:53:00Z</dcterms:modified>
</cp:coreProperties>
</file>