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冯健鹏</w:t>
      </w:r>
      <w:r>
        <w:rPr>
          <w:rFonts w:hint="eastAsia" w:ascii="宋体" w:hAnsi="宋体" w:eastAsia="宋体" w:cs="宋体"/>
          <w:kern w:val="0"/>
          <w:sz w:val="24"/>
          <w:szCs w:val="24"/>
        </w:rPr>
        <w:t>，男，浙江杭州人，1981年2月生，教授、博士生导师，在浙江大学获法学博士学位。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研究方向为：法学理论。主持的代表性课题有：</w:t>
      </w:r>
      <w:r>
        <w:rPr>
          <w:rFonts w:hint="eastAsia" w:ascii="宋体" w:hAnsi="宋体" w:eastAsia="宋体" w:cs="宋体"/>
          <w:kern w:val="0"/>
          <w:sz w:val="24"/>
          <w:szCs w:val="24"/>
        </w:rPr>
        <w:tab/>
      </w:r>
      <w:r>
        <w:rPr>
          <w:rFonts w:hint="eastAsia" w:ascii="宋体" w:hAnsi="宋体" w:eastAsia="宋体" w:cs="宋体"/>
          <w:kern w:val="0"/>
          <w:sz w:val="24"/>
          <w:szCs w:val="24"/>
        </w:rPr>
        <w:t>国家社会科学基金重点项目“共建共治共享社会治理法治化的程序保障机制研究”(20AFX003)，国家社科基金青年项目“我国宪法基本权利的程序保障机制研究”(13CFX025)，教育部人文社会科学研究青年基金项目“以正当程序为核心完善地方人大监督权行使机制的研究”(11YJC810010)等。在《法学研究》、《中国法学》、《环球法律评论》、《法学》、《法学评论》等期刊上发表论文三十余篇。其中，两篇论文被《人大复印资料》、《高等学校文科学术文摘转载》。研究成果获第六届中国法学会“董必武青年法学成果奖”三等奖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电子邮箱</w:t>
      </w:r>
      <w:r>
        <w:rPr>
          <w:rFonts w:hint="eastAsia" w:ascii="宋体" w:hAnsi="宋体" w:eastAsia="宋体" w:cs="宋体"/>
          <w:kern w:val="0"/>
          <w:sz w:val="24"/>
          <w:szCs w:val="24"/>
        </w:rPr>
        <w:t>：fengjp@mail.zjgsu.edu.cn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F14C41"/>
    <w:rsid w:val="57F14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2023-09-12T00:58:00Z</dcterms:created>
  <dc:creator>admin</dc:creator>
  <cp:lastModifiedBy>admin</cp:lastModifiedBy>
  <dcterms:modified xsi:type="dcterms:W3CDTF">2023-09-12T00:59:56Z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2052-11.8.2.8276</vt:lpwstr>
  </property>
</Properties>
</file>